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7" w:rsidRDefault="00D51387" w:rsidP="00D51387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2271395</wp:posOffset>
            </wp:positionH>
            <wp:positionV relativeFrom="margin">
              <wp:posOffset>-462915</wp:posOffset>
            </wp:positionV>
            <wp:extent cx="1724025" cy="1066800"/>
            <wp:effectExtent l="19050" t="0" r="9525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387" w:rsidRPr="00FA4FB4" w:rsidRDefault="00D51387" w:rsidP="00D513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D51387" w:rsidRPr="00FA4FB4" w:rsidRDefault="00D51387" w:rsidP="00D513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D51387" w:rsidRDefault="00D51387" w:rsidP="00D513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</w:p>
    <w:p w:rsidR="00D51387" w:rsidRPr="00DD1CD1" w:rsidRDefault="00D51387" w:rsidP="00D513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DD1CD1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РЕСПУБЛИКА ДАГЕСТАН</w:t>
      </w:r>
    </w:p>
    <w:p w:rsidR="00D51387" w:rsidRPr="00DD1CD1" w:rsidRDefault="00D51387" w:rsidP="00D513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DD1CD1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МУНИЦИПАЛЬНОЕ ОБРАЗОВАНИЕ «ХАСАВЮРТОВСКИЙ РАЙОН»</w:t>
      </w:r>
    </w:p>
    <w:p w:rsidR="00D51387" w:rsidRPr="00FA4FB4" w:rsidRDefault="00D51387" w:rsidP="00D513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>М</w:t>
      </w:r>
      <w:r>
        <w:rPr>
          <w:rFonts w:ascii="Times New Roman" w:eastAsia="Times New Roman" w:hAnsi="Times New Roman" w:cs="Times New Roman"/>
          <w:b/>
          <w:shadow/>
          <w:sz w:val="44"/>
          <w:szCs w:val="32"/>
        </w:rPr>
        <w:t>Б</w:t>
      </w: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>ОУ «Тотурбийкалинская СОШ</w:t>
      </w:r>
    </w:p>
    <w:p w:rsidR="00D51387" w:rsidRPr="00FA4FB4" w:rsidRDefault="00D51387" w:rsidP="00D513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 w:rsidRPr="00FA4FB4">
        <w:rPr>
          <w:rFonts w:ascii="Times New Roman" w:eastAsia="Times New Roman" w:hAnsi="Times New Roman" w:cs="Times New Roman"/>
          <w:b/>
          <w:shadow/>
          <w:sz w:val="44"/>
          <w:szCs w:val="32"/>
        </w:rPr>
        <w:t xml:space="preserve"> им. А.К. Кабардиева»</w:t>
      </w:r>
    </w:p>
    <w:p w:rsidR="00D51387" w:rsidRPr="00FA4FB4" w:rsidRDefault="00D51387" w:rsidP="00D5138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hadow/>
          <w:color w:val="000080"/>
          <w:sz w:val="6"/>
          <w:szCs w:val="24"/>
        </w:rPr>
      </w:pPr>
    </w:p>
    <w:p w:rsidR="00D51387" w:rsidRPr="00FA4FB4" w:rsidRDefault="00D51387" w:rsidP="00D51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1387" w:rsidRPr="00DD1CD1" w:rsidRDefault="00D51387" w:rsidP="00D51387">
      <w:pPr>
        <w:keepNext/>
        <w:keepLines/>
        <w:shd w:val="clear" w:color="auto" w:fill="FFFFFF"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color w:val="5B9BD5" w:themeColor="accent1"/>
          <w:sz w:val="20"/>
          <w:szCs w:val="20"/>
        </w:rPr>
        <w:pict>
          <v:line id="_x0000_s1027" style="position:absolute;z-index:251661312" from="63pt,-115pt" to="63pt,-115pt"/>
        </w:pict>
      </w:r>
      <w:r w:rsidRPr="00DD1CD1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368024, с. Тотурбийкала,  ул. Арслана Кабардиева, 1               </w:t>
      </w:r>
      <w:hyperlink r:id="rId9" w:tgtFrame="_blank" w:history="1"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E-</w:t>
        </w:r>
        <w:r w:rsidRPr="00DD1CD1">
          <w:rPr>
            <w:rFonts w:ascii="Arial" w:eastAsiaTheme="majorEastAsia" w:hAnsi="Arial" w:cs="Arial"/>
            <w:b/>
            <w:bCs/>
            <w:color w:val="540354"/>
            <w:sz w:val="20"/>
            <w:szCs w:val="20"/>
            <w:u w:val="single"/>
          </w:rPr>
          <w:t>mail</w:t>
        </w:r>
        <w:r w:rsidRPr="00DD1CD1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.ru</w:t>
        </w:r>
      </w:hyperlink>
      <w:r w:rsidRPr="00DD1CD1">
        <w:rPr>
          <w:rFonts w:ascii="Arial" w:eastAsiaTheme="majorEastAsia" w:hAnsi="Arial" w:cs="Arial"/>
          <w:color w:val="000000"/>
          <w:sz w:val="20"/>
          <w:szCs w:val="20"/>
        </w:rPr>
        <w:t xml:space="preserve"> - </w:t>
      </w:r>
      <w:r w:rsidRPr="00DD1CD1">
        <w:rPr>
          <w:rFonts w:ascii="Arial" w:eastAsiaTheme="majorEastAsia" w:hAnsi="Arial" w:cs="Arial"/>
          <w:b/>
          <w:bCs/>
          <w:color w:val="333333"/>
          <w:sz w:val="20"/>
          <w:szCs w:val="20"/>
        </w:rPr>
        <w:t>toturbijkala_sosh@mail.ru</w:t>
      </w:r>
      <w:r w:rsidRPr="00DD1CD1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</w:t>
      </w:r>
    </w:p>
    <w:p w:rsidR="00D51387" w:rsidRPr="00DD1CD1" w:rsidRDefault="00D51387" w:rsidP="00D51387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Theme="majorEastAsia" w:hAnsi="Arial" w:cs="Arial"/>
          <w:color w:val="000000"/>
          <w:sz w:val="20"/>
          <w:szCs w:val="20"/>
        </w:rPr>
      </w:pPr>
      <w:r w:rsidRPr="00DD1CD1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ИНН - 0534021977 ОГРН - 1020501766625                                                 </w:t>
      </w:r>
    </w:p>
    <w:p w:rsidR="00D51387" w:rsidRPr="00FA4FB4" w:rsidRDefault="00D51387" w:rsidP="00D5138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1C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pict>
          <v:line id="_x0000_s1026" style="position:absolute;z-index:251660288;mso-position-horizontal-relative:text;mso-position-vertical-relative:text" from="2.15pt,5.4pt" to="496.05pt,5.4pt" strokecolor="red" strokeweight="3pt">
            <v:stroke linestyle="thinThin"/>
          </v:line>
        </w:pict>
      </w:r>
    </w:p>
    <w:p w:rsidR="00D51387" w:rsidRPr="00611FAD" w:rsidRDefault="00D51387" w:rsidP="00D5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885"/>
        <w:gridCol w:w="4969"/>
      </w:tblGrid>
      <w:tr w:rsidR="00D51387" w:rsidRPr="00611FAD" w:rsidTr="000360E3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51387" w:rsidRPr="00611FAD" w:rsidRDefault="00D51387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D51387" w:rsidRPr="00611FAD" w:rsidRDefault="00D51387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D51387" w:rsidRPr="00611FAD" w:rsidRDefault="00D51387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D51387" w:rsidRPr="00DD1CD1" w:rsidRDefault="00D51387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D51387" w:rsidRPr="00611FAD" w:rsidRDefault="00D51387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D51387" w:rsidRPr="00611FAD" w:rsidRDefault="00D51387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D51387" w:rsidRPr="00611FAD" w:rsidRDefault="00D51387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</w:t>
            </w:r>
            <w:r>
              <w:rPr>
                <w:bCs/>
                <w:sz w:val="28"/>
                <w:szCs w:val="28"/>
              </w:rPr>
              <w:t>Кабардиеа Ф.К.</w:t>
            </w:r>
          </w:p>
          <w:p w:rsidR="00D51387" w:rsidRPr="00611FAD" w:rsidRDefault="00D51387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D51387" w:rsidRPr="00611FAD" w:rsidRDefault="00D51387" w:rsidP="000360E3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D51387" w:rsidRPr="00611FAD" w:rsidRDefault="00D51387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D51387" w:rsidRPr="00611FAD" w:rsidRDefault="00D51387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D51387" w:rsidRPr="00611FAD" w:rsidRDefault="00D51387" w:rsidP="000360E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EC4702" w:rsidP="00EC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bookmarkStart w:id="0" w:name="_GoBack"/>
      <w:bookmarkEnd w:id="0"/>
    </w:p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(72 часа)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D51387" w:rsidRDefault="00D51387" w:rsidP="00D51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Акаева Н.К.</w:t>
      </w:r>
    </w:p>
    <w:p w:rsidR="0077282C" w:rsidRPr="00D51387" w:rsidRDefault="0077282C" w:rsidP="00D5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:rsidR="0066518F" w:rsidRPr="00262C13" w:rsidRDefault="00826BF7" w:rsidP="00D51387">
      <w:pPr>
        <w:pStyle w:val="3"/>
        <w:spacing w:after="0"/>
        <w:ind w:left="0"/>
        <w:jc w:val="center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:rsidR="00E27E27" w:rsidRDefault="00674D73" w:rsidP="00D51387">
      <w:pPr>
        <w:pStyle w:val="3"/>
        <w:spacing w:after="0"/>
        <w:ind w:left="0"/>
        <w:jc w:val="center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</w:p>
    <w:p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Учебно – тренировочные занятия проходят по схеме: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814" w:rsidRPr="002A22F7" w:rsidRDefault="002A22F7" w:rsidP="00D51387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:rsidTr="00D12FD8">
        <w:tc>
          <w:tcPr>
            <w:tcW w:w="9869" w:type="dxa"/>
            <w:gridSpan w:val="7"/>
          </w:tcPr>
          <w:p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:rsidTr="00D12FD8">
        <w:tc>
          <w:tcPr>
            <w:tcW w:w="9869" w:type="dxa"/>
            <w:gridSpan w:val="7"/>
          </w:tcPr>
          <w:p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c>
          <w:tcPr>
            <w:tcW w:w="9869" w:type="dxa"/>
            <w:gridSpan w:val="7"/>
          </w:tcPr>
          <w:p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скрестным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голосок», «Ловкие ребята», «Кот идет», «Волк во рве», «Пустое место», «Запрещенное движение».</w:t>
      </w:r>
    </w:p>
    <w:p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</w:p>
    <w:p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(медицинбол)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/>
        </w:rPr>
        <w:t xml:space="preserve">Основные средства тренировочных воздействий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общеразвивающие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подвижные игры и игровые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разнообразные прыжки и прыжковые упражнения;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гимнастические упражнения для силовой и скоростно-силовой подготовки;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акробатические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.</w:t>
      </w:r>
    </w:p>
    <w:p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t xml:space="preserve">спортивно-игровой;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t xml:space="preserve">равномерный;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t>круговой;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t xml:space="preserve">контрольный;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t xml:space="preserve">соревновательный. </w:t>
      </w:r>
    </w:p>
    <w:p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853FA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детей(утверждена распоряжением Правительства Российской Федерации от 4</w:t>
      </w:r>
    </w:p>
    <w:p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Башин Д.Ю. Футбол в современном мире. – М.: МИР, 1998. – 287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Виниаминов Н.К. Футбольные игры в истории ХХ века. – М.: Просвещение, 2000. – 400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Чирва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Качани Л., Торский Л. Тренировка футболистов. – М.: Физкультура и спорт, 1984. – 174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Красножан Ю.А., Чирва Б.Г. Футбол. Подготовка и проведение разбора игр с футболистами. – М.: ТВТ Дивизион, 2013. — 45 с. </w:t>
      </w:r>
    </w:p>
    <w:p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Ланфранши П., Айзенберг К., Мейсон Т., Валь А. FIFA 100 лет. Век футбола. — М.: Махаон, 2006, с. 312.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11. Малов В.И. Футбол: Энциклопедия. – М.: ООО «Издательство АСТ», 2005. -394с.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12. Рафалов М. Разговор о футбольных правилах. – М.: Терра-спорт, 1999. – 235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13. Реднеджер К. Футбол. Полная иллюстрированная энциклопедия мирового футбола. — М.: Росмэн-Издат, 2000, с. 256.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14. Саркисян Р.А., Четырко А.М. Подготовка юных футболистов: Методические рекомендации. – Ереван, 1979.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15. Современная система спортивной подготовки / Под ред. Ф.П. Суслова, В.Л. Сыча, Б.Н. Шустина. – М.: «СААМ», 1995.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16. Филин В.П., Фомин Н.А. Основы юношеского спорта. – М.: Физкультура и спорт, 1980.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17. Футбол для детей. 101 тренировка для начинающего футболиста. Тони Чарльз, Стюарт Рук (пер. с англ. А. Поповой). – М.: Издательство «Э», 2017.  – 128 с. </w:t>
      </w:r>
    </w:p>
    <w:p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18. Швыков И.А. Футбол в школе. – М.: Терра – спорт, Олимпия Пресс, </w:t>
      </w: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lastRenderedPageBreak/>
        <w:t>2002. 19. Юный футболист: сб./Под ред. А.П. Лаптева, А.А. Сучилина. – М.: Физкультура и спорт, 1983. – 255 с., ил.</w:t>
      </w:r>
    </w:p>
    <w:p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B6151" w:rsidRPr="00BB6151" w:rsidRDefault="00BB6151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.(Дата обращения: 06.11.2018). </w:t>
      </w:r>
    </w:p>
    <w:p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История Российского футбола. [Электронный ресурс] URL: </w:t>
      </w:r>
      <w:hyperlink r:id="rId11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.(Дата обращения: 06.11.2018).</w:t>
      </w: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7"/>
    </w:p>
    <w:p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эстафетный бег;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скоростно - силовых качеств: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вбрасывание футбольного или набивного мяча на дальность;  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то же с приставными шагами, с отягощением.</w:t>
      </w:r>
    </w:p>
    <w:p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lastRenderedPageBreak/>
        <w:t>то же, выполняя поворот на 90 - 180 градусов;</w:t>
      </w:r>
    </w:p>
    <w:p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упражнения со скакалкой;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2</w:t>
      </w:r>
    </w:p>
    <w:p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:rsidTr="00C074E9">
        <w:trPr>
          <w:trHeight w:val="741"/>
        </w:trPr>
        <w:tc>
          <w:tcPr>
            <w:tcW w:w="3936" w:type="dxa"/>
            <w:gridSpan w:val="2"/>
          </w:tcPr>
          <w:p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 упражнения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</w:tc>
      </w:tr>
      <w:tr w:rsidR="00C074E9" w:rsidRPr="00C074E9" w:rsidTr="00C074E9">
        <w:trPr>
          <w:trHeight w:val="37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:rsidTr="00C074E9">
        <w:trPr>
          <w:trHeight w:val="4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:rsidTr="00C074E9">
        <w:trPr>
          <w:trHeight w:val="417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417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400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:rsidTr="00C074E9">
        <w:trPr>
          <w:trHeight w:val="408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6-мин бег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12-ти минутный бег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 бег 120 м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:rsidTr="00C074E9">
        <w:trPr>
          <w:trHeight w:val="738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8-ми кратные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5-и кратные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:rsidTr="00C074E9">
        <w:trPr>
          <w:trHeight w:val="111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игроков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:rsidTr="00C074E9">
        <w:trPr>
          <w:trHeight w:val="586"/>
        </w:trPr>
        <w:tc>
          <w:tcPr>
            <w:tcW w:w="9752" w:type="dxa"/>
            <w:gridSpan w:val="9"/>
          </w:tcPr>
          <w:p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hAnsi="Times New Roman" w:cs="Times New Roman"/>
                <w:b/>
                <w:sz w:val="28"/>
              </w:rPr>
              <w:t>Для вратарей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4E9" w:rsidRPr="00C074E9" w:rsidRDefault="00C074E9" w:rsidP="00C074E9">
      <w:pPr>
        <w:sectPr w:rsidR="00C074E9" w:rsidRPr="00C074E9" w:rsidSect="00EB271B">
          <w:footerReference w:type="default" r:id="rId12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:rsidTr="00E5507D">
        <w:tc>
          <w:tcPr>
            <w:tcW w:w="959" w:type="dxa"/>
          </w:tcPr>
          <w:p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:rsidTr="00E5507D">
        <w:trPr>
          <w:cantSplit/>
          <w:trHeight w:val="1134"/>
        </w:trPr>
        <w:tc>
          <w:tcPr>
            <w:tcW w:w="959" w:type="dxa"/>
          </w:tcPr>
          <w:p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rPr>
          <w:trHeight w:val="1767"/>
        </w:trPr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rPr>
          <w:trHeight w:val="983"/>
        </w:trPr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подготовке.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занятие</w:t>
            </w:r>
          </w:p>
          <w:p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5C3" w:rsidRDefault="00CC05C3" w:rsidP="007E70DA">
      <w:pPr>
        <w:spacing w:after="0" w:line="240" w:lineRule="auto"/>
      </w:pPr>
      <w:r>
        <w:separator/>
      </w:r>
    </w:p>
  </w:endnote>
  <w:endnote w:type="continuationSeparator" w:id="1">
    <w:p w:rsidR="00CC05C3" w:rsidRDefault="00CC05C3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312694"/>
      <w:docPartObj>
        <w:docPartGallery w:val="Page Numbers (Bottom of Page)"/>
        <w:docPartUnique/>
      </w:docPartObj>
    </w:sdtPr>
    <w:sdtContent>
      <w:p w:rsidR="00EB271B" w:rsidRDefault="00E00352">
        <w:pPr>
          <w:pStyle w:val="a9"/>
          <w:jc w:val="right"/>
        </w:pPr>
        <w:r>
          <w:fldChar w:fldCharType="begin"/>
        </w:r>
        <w:r w:rsidR="00EB271B">
          <w:instrText>PAGE   \* MERGEFORMAT</w:instrText>
        </w:r>
        <w:r>
          <w:fldChar w:fldCharType="separate"/>
        </w:r>
        <w:r w:rsidR="00D51387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EB271B" w:rsidRDefault="00EB27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5C3" w:rsidRDefault="00CC05C3" w:rsidP="007E70DA">
      <w:pPr>
        <w:spacing w:after="0" w:line="240" w:lineRule="auto"/>
      </w:pPr>
      <w:r>
        <w:separator/>
      </w:r>
    </w:p>
  </w:footnote>
  <w:footnote w:type="continuationSeparator" w:id="1">
    <w:p w:rsidR="00CC05C3" w:rsidRDefault="00CC05C3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05C3"/>
    <w:rsid w:val="00CC18F5"/>
    <w:rsid w:val="00CC46CB"/>
    <w:rsid w:val="00CC5990"/>
    <w:rsid w:val="00CC636D"/>
    <w:rsid w:val="00CD60D2"/>
    <w:rsid w:val="00CE254A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1387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35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rmelad.narod.ru/history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dorovosport.ru/footba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mai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C749-979D-42BF-AD41-EDE4883F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28</Pages>
  <Words>4753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951</cp:revision>
  <dcterms:created xsi:type="dcterms:W3CDTF">2020-05-18T17:00:00Z</dcterms:created>
  <dcterms:modified xsi:type="dcterms:W3CDTF">2021-10-08T08:01:00Z</dcterms:modified>
</cp:coreProperties>
</file>